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</w:p>
    <w:p w:rsidR="00726F12" w:rsidRPr="00DC7616" w:rsidRDefault="00DC7616" w:rsidP="0034489C">
      <w:pPr>
        <w:spacing w:after="480"/>
        <w:rPr>
          <w:sz w:val="26"/>
          <w:szCs w:val="26"/>
          <w:lang w:val="en-US"/>
        </w:rPr>
      </w:pP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5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>
        <w:rPr>
          <w:sz w:val="26"/>
          <w:szCs w:val="26"/>
          <w:lang w:val="en-US"/>
        </w:rPr>
        <w:t>6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2025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 w:rsidR="00EF1C15" w:rsidRPr="00EF1C15">
        <w:rPr>
          <w:sz w:val="26"/>
          <w:szCs w:val="26"/>
        </w:rPr>
        <w:t>13</w:t>
      </w:r>
      <w:r>
        <w:rPr>
          <w:sz w:val="26"/>
          <w:szCs w:val="26"/>
          <w:lang w:val="en-US"/>
        </w:rPr>
        <w:t>5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</w:t>
      </w:r>
      <w:r w:rsidR="00DC7616">
        <w:rPr>
          <w:sz w:val="26"/>
          <w:szCs w:val="26"/>
        </w:rPr>
        <w:t>, решение от 08.04.2025 № 13</w:t>
      </w:r>
      <w:r w:rsidR="00DC7616" w:rsidRPr="00DC7616">
        <w:rPr>
          <w:sz w:val="26"/>
          <w:szCs w:val="26"/>
        </w:rPr>
        <w:t>1</w:t>
      </w:r>
      <w:r w:rsidR="00DC7616">
        <w:rPr>
          <w:sz w:val="26"/>
          <w:szCs w:val="26"/>
        </w:rPr>
        <w:t>, решение от 28.05.2025 № 133</w:t>
      </w:r>
      <w:r w:rsidR="00E34904">
        <w:rPr>
          <w:sz w:val="26"/>
          <w:szCs w:val="26"/>
        </w:rPr>
        <w:t>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DC7616">
        <w:rPr>
          <w:sz w:val="26"/>
          <w:szCs w:val="26"/>
        </w:rPr>
        <w:t>11125,9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DC7616">
        <w:rPr>
          <w:sz w:val="26"/>
          <w:szCs w:val="26"/>
        </w:rPr>
        <w:t>11299,5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575582">
        <w:rPr>
          <w:sz w:val="26"/>
          <w:szCs w:val="26"/>
        </w:rPr>
        <w:t>Приложения</w:t>
      </w:r>
      <w:r w:rsidR="001F30D5" w:rsidRPr="00575582">
        <w:rPr>
          <w:sz w:val="26"/>
          <w:szCs w:val="26"/>
        </w:rPr>
        <w:t xml:space="preserve"> </w:t>
      </w:r>
      <w:r w:rsidR="00F51234" w:rsidRPr="00A70E51">
        <w:rPr>
          <w:sz w:val="26"/>
          <w:szCs w:val="26"/>
        </w:rPr>
        <w:t>2,3,5,</w:t>
      </w:r>
      <w:r w:rsidR="00C54EBB" w:rsidRPr="00A70E51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C7616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DC7616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EF1C15" w:rsidRDefault="00DC7616" w:rsidP="00EF1C15">
      <w:pPr>
        <w:ind w:firstLine="709"/>
        <w:jc w:val="both"/>
      </w:pPr>
      <w:r>
        <w:rPr>
          <w:sz w:val="26"/>
          <w:szCs w:val="26"/>
        </w:rPr>
        <w:t>5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r w:rsidR="00EF1C15" w:rsidRPr="00EF1C15">
        <w:t xml:space="preserve"> </w:t>
      </w:r>
      <w:hyperlink r:id="rId9" w:history="1">
        <w:r w:rsidR="00EF1C15" w:rsidRPr="00EF1C15">
          <w:rPr>
            <w:rStyle w:val="af2"/>
            <w:rFonts w:eastAsiaTheme="majorEastAsia"/>
          </w:rPr>
          <w:t>http://www.novokriv.ru/acts/</w:t>
        </w:r>
      </w:hyperlink>
      <w:r w:rsidR="00EF1C15">
        <w:t xml:space="preserve">. </w:t>
      </w:r>
    </w:p>
    <w:p w:rsidR="008C1CC3" w:rsidRDefault="00DC7616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>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AA5D32" w:rsidRPr="00AA5D32" w:rsidRDefault="008B10AF" w:rsidP="00C92A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29F9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125</w:t>
            </w:r>
            <w:r w:rsidR="004D3494">
              <w:rPr>
                <w:sz w:val="26"/>
                <w:szCs w:val="26"/>
              </w:rPr>
              <w:t>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C92A85" w:rsidRPr="00C92A85" w:rsidRDefault="004D3494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92A85">
              <w:rPr>
                <w:sz w:val="26"/>
                <w:szCs w:val="26"/>
              </w:rPr>
              <w:t>709,8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A50188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</w:t>
            </w:r>
            <w:r w:rsidR="00AA5D3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50" w:type="dxa"/>
          </w:tcPr>
          <w:p w:rsidR="00784B53" w:rsidRDefault="00AA5D32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C92A85" w:rsidP="00C92A85">
            <w:pPr>
              <w:jc w:val="center"/>
            </w:pPr>
            <w:r>
              <w:t>8709</w:t>
            </w:r>
            <w:r w:rsidR="004D3494">
              <w:t>,8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4319E4" w:rsidP="00C92A85">
            <w:pPr>
              <w:jc w:val="center"/>
            </w:pPr>
            <w:r>
              <w:t>5</w:t>
            </w:r>
            <w:r w:rsidR="00A50188">
              <w:t>9</w:t>
            </w:r>
            <w:r w:rsidR="00C92A85">
              <w:t>34</w:t>
            </w:r>
            <w:r w:rsidR="00E34904">
              <w:t>,0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4319E4">
              <w:t>77,3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4D3494" w:rsidP="008D7DFB">
            <w:pPr>
              <w:jc w:val="center"/>
            </w:pPr>
            <w:r>
              <w:t>2498,5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4D3494" w:rsidP="008D7DFB">
            <w:pPr>
              <w:jc w:val="center"/>
            </w:pPr>
            <w:r>
              <w:t>2498,5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4D3494" w:rsidP="008D7DFB">
            <w:pPr>
              <w:jc w:val="center"/>
            </w:pPr>
            <w:r>
              <w:t>1660,4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8229F9" w:rsidP="008D7DFB">
            <w:r>
              <w:t>Межбюджетные трансферты на реализацию инициативного проекта «Создание и благоустройство аллеи памяти участникам СВО в с. Новокривошеино Кривошеинского района Томской области»</w:t>
            </w:r>
          </w:p>
        </w:tc>
        <w:tc>
          <w:tcPr>
            <w:tcW w:w="1024" w:type="dxa"/>
          </w:tcPr>
          <w:p w:rsidR="00E323F3" w:rsidRPr="009F2F9F" w:rsidRDefault="008229F9" w:rsidP="008D7DFB">
            <w:pPr>
              <w:jc w:val="center"/>
            </w:pPr>
            <w:r>
              <w:t>838,1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C92A85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="00C454F0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125</w:t>
            </w:r>
            <w:r w:rsidR="004D3494">
              <w:rPr>
                <w:sz w:val="26"/>
                <w:szCs w:val="26"/>
              </w:rPr>
              <w:t>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C92A85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454F0">
              <w:rPr>
                <w:sz w:val="26"/>
                <w:szCs w:val="26"/>
              </w:rPr>
              <w:t>1</w:t>
            </w:r>
            <w:r w:rsidR="004D3494">
              <w:rPr>
                <w:sz w:val="26"/>
                <w:szCs w:val="26"/>
              </w:rPr>
              <w:t>2</w:t>
            </w:r>
            <w:r w:rsidR="00C92A85">
              <w:rPr>
                <w:sz w:val="26"/>
                <w:szCs w:val="26"/>
              </w:rPr>
              <w:t>99</w:t>
            </w:r>
            <w:r w:rsidR="004D3494">
              <w:rPr>
                <w:sz w:val="26"/>
                <w:szCs w:val="26"/>
              </w:rPr>
              <w:t>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A7" w:rsidRDefault="00366CA7" w:rsidP="008D5C8E">
      <w:r>
        <w:separator/>
      </w:r>
    </w:p>
  </w:endnote>
  <w:endnote w:type="continuationSeparator" w:id="1">
    <w:p w:rsidR="00366CA7" w:rsidRDefault="00366CA7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A7" w:rsidRDefault="00366CA7" w:rsidP="008D5C8E">
      <w:r>
        <w:separator/>
      </w:r>
    </w:p>
  </w:footnote>
  <w:footnote w:type="continuationSeparator" w:id="1">
    <w:p w:rsidR="00366CA7" w:rsidRDefault="00366CA7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1A0503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C92A85">
            <w:rPr>
              <w:noProof/>
            </w:rPr>
            <w:t>5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5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14C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kriv.ru/act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283</cp:revision>
  <cp:lastPrinted>2025-06-25T05:39:00Z</cp:lastPrinted>
  <dcterms:created xsi:type="dcterms:W3CDTF">2019-03-25T16:31:00Z</dcterms:created>
  <dcterms:modified xsi:type="dcterms:W3CDTF">2025-06-25T05:40:00Z</dcterms:modified>
</cp:coreProperties>
</file>